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92"/>
        <w:rPr>
          <w:sz w:val="16"/>
        </w:rPr>
      </w:pPr>
    </w:p>
    <w:p>
      <w:pPr>
        <w:spacing w:before="0"/>
        <w:ind w:left="0" w:right="541" w:firstLine="0"/>
        <w:jc w:val="right"/>
        <w:rPr>
          <w:rFonts w:ascii="Verdana"/>
          <w:sz w:val="16"/>
        </w:rPr>
      </w:pPr>
      <w:r>
        <w:rPr>
          <w:rFonts w:ascii="Verdana"/>
          <w:sz w:val="16"/>
        </w:rPr>
        <w:drawing>
          <wp:anchor distT="0" distB="0" distL="0" distR="0" allowOverlap="1" layoutInCell="1" locked="0" behindDoc="0" simplePos="0" relativeHeight="15729152">
            <wp:simplePos x="0" y="0"/>
            <wp:positionH relativeFrom="page">
              <wp:posOffset>521224</wp:posOffset>
            </wp:positionH>
            <wp:positionV relativeFrom="paragraph">
              <wp:posOffset>-994741</wp:posOffset>
            </wp:positionV>
            <wp:extent cx="4298803" cy="1077946"/>
            <wp:effectExtent l="0" t="0" r="0" b="0"/>
            <wp:wrapNone/>
            <wp:docPr id="1" name="Image 1" descr="Secretary Office logo IDFPR"/>
            <wp:cNvGraphicFramePr>
              <a:graphicFrameLocks/>
            </wp:cNvGraphicFramePr>
            <a:graphic>
              <a:graphicData uri="http://schemas.openxmlformats.org/drawingml/2006/picture">
                <pic:pic>
                  <pic:nvPicPr>
                    <pic:cNvPr id="1" name="Image 1" descr="Secretary Office logo IDFPR"/>
                    <pic:cNvPicPr/>
                  </pic:nvPicPr>
                  <pic:blipFill>
                    <a:blip r:embed="rId5" cstate="print"/>
                    <a:stretch>
                      <a:fillRect/>
                    </a:stretch>
                  </pic:blipFill>
                  <pic:spPr>
                    <a:xfrm>
                      <a:off x="0" y="0"/>
                      <a:ext cx="4298803" cy="1077946"/>
                    </a:xfrm>
                    <a:prstGeom prst="rect">
                      <a:avLst/>
                    </a:prstGeom>
                  </pic:spPr>
                </pic:pic>
              </a:graphicData>
            </a:graphic>
          </wp:anchor>
        </w:drawing>
      </w:r>
      <w:hyperlink r:id="rId6">
        <w:r>
          <w:rPr>
            <w:rFonts w:ascii="Verdana"/>
            <w:color w:val="467885"/>
            <w:spacing w:val="-2"/>
            <w:sz w:val="16"/>
            <w:u w:val="single" w:color="467885"/>
          </w:rPr>
          <w:t>idfpr.illinois.gov</w:t>
        </w:r>
      </w:hyperlink>
    </w:p>
    <w:p>
      <w:pPr>
        <w:pStyle w:val="BodyText"/>
        <w:rPr>
          <w:rFonts w:ascii="Verdana"/>
        </w:rPr>
      </w:pPr>
    </w:p>
    <w:p>
      <w:pPr>
        <w:pStyle w:val="BodyText"/>
        <w:spacing w:before="220"/>
        <w:rPr>
          <w:rFonts w:ascii="Verdana"/>
        </w:rPr>
      </w:pPr>
    </w:p>
    <w:p>
      <w:pPr>
        <w:pStyle w:val="BodyText"/>
        <w:tabs>
          <w:tab w:pos="7921" w:val="left" w:leader="none"/>
        </w:tabs>
        <w:ind w:left="360"/>
      </w:pPr>
      <w:r>
        <w:rPr/>
        <mc:AlternateContent>
          <mc:Choice Requires="wps">
            <w:drawing>
              <wp:anchor distT="0" distB="0" distL="0" distR="0" allowOverlap="1" layoutInCell="1" locked="0" behindDoc="0" simplePos="0" relativeHeight="15728640">
                <wp:simplePos x="0" y="0"/>
                <wp:positionH relativeFrom="page">
                  <wp:posOffset>438912</wp:posOffset>
                </wp:positionH>
                <wp:positionV relativeFrom="paragraph">
                  <wp:posOffset>-379318</wp:posOffset>
                </wp:positionV>
                <wp:extent cx="6743700" cy="28575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6743700" cy="285750"/>
                          <a:chExt cx="6743700" cy="285750"/>
                        </a:xfrm>
                      </wpg:grpSpPr>
                      <wps:wsp>
                        <wps:cNvPr id="3" name="Graphic 3"/>
                        <wps:cNvSpPr/>
                        <wps:spPr>
                          <a:xfrm>
                            <a:off x="0" y="548"/>
                            <a:ext cx="6743700" cy="285115"/>
                          </a:xfrm>
                          <a:custGeom>
                            <a:avLst/>
                            <a:gdLst/>
                            <a:ahLst/>
                            <a:cxnLst/>
                            <a:rect l="l" t="t" r="r" b="b"/>
                            <a:pathLst>
                              <a:path w="6743700" h="285115">
                                <a:moveTo>
                                  <a:pt x="6743700" y="141744"/>
                                </a:moveTo>
                                <a:lnTo>
                                  <a:pt x="6743700" y="141744"/>
                                </a:lnTo>
                                <a:lnTo>
                                  <a:pt x="0" y="141744"/>
                                </a:lnTo>
                                <a:lnTo>
                                  <a:pt x="0" y="284988"/>
                                </a:lnTo>
                                <a:lnTo>
                                  <a:pt x="1981835" y="284988"/>
                                </a:lnTo>
                                <a:lnTo>
                                  <a:pt x="2780411" y="284988"/>
                                </a:lnTo>
                                <a:lnTo>
                                  <a:pt x="4762246" y="284988"/>
                                </a:lnTo>
                                <a:lnTo>
                                  <a:pt x="4762246" y="277368"/>
                                </a:lnTo>
                                <a:lnTo>
                                  <a:pt x="6743700" y="277368"/>
                                </a:lnTo>
                                <a:lnTo>
                                  <a:pt x="6743700" y="141744"/>
                                </a:lnTo>
                                <a:close/>
                              </a:path>
                              <a:path w="6743700" h="285115">
                                <a:moveTo>
                                  <a:pt x="6743700" y="0"/>
                                </a:moveTo>
                                <a:lnTo>
                                  <a:pt x="6743700" y="0"/>
                                </a:lnTo>
                                <a:lnTo>
                                  <a:pt x="0" y="0"/>
                                </a:lnTo>
                                <a:lnTo>
                                  <a:pt x="0" y="141732"/>
                                </a:lnTo>
                                <a:lnTo>
                                  <a:pt x="6743700" y="141732"/>
                                </a:lnTo>
                                <a:lnTo>
                                  <a:pt x="6743700" y="0"/>
                                </a:lnTo>
                                <a:close/>
                              </a:path>
                            </a:pathLst>
                          </a:custGeom>
                          <a:solidFill>
                            <a:srgbClr val="1B1363"/>
                          </a:solidFill>
                        </wps:spPr>
                        <wps:bodyPr wrap="square" lIns="0" tIns="0" rIns="0" bIns="0" rtlCol="0">
                          <a:prstTxWarp prst="textNoShape">
                            <a:avLst/>
                          </a:prstTxWarp>
                          <a:noAutofit/>
                        </wps:bodyPr>
                      </wps:wsp>
                      <wps:wsp>
                        <wps:cNvPr id="4" name="Textbox 4"/>
                        <wps:cNvSpPr txBox="1"/>
                        <wps:spPr>
                          <a:xfrm>
                            <a:off x="1016761" y="0"/>
                            <a:ext cx="760095" cy="266065"/>
                          </a:xfrm>
                          <a:prstGeom prst="rect">
                            <a:avLst/>
                          </a:prstGeom>
                        </wps:spPr>
                        <wps:txbx>
                          <w:txbxContent>
                            <w:p>
                              <w:pPr>
                                <w:spacing w:before="1"/>
                                <w:ind w:left="-1" w:right="18" w:firstLine="0"/>
                                <w:jc w:val="center"/>
                                <w:rPr>
                                  <w:rFonts w:ascii="Verdana"/>
                                  <w:b/>
                                  <w:sz w:val="16"/>
                                </w:rPr>
                              </w:pPr>
                              <w:r>
                                <w:rPr>
                                  <w:rFonts w:ascii="Verdana"/>
                                  <w:b/>
                                  <w:color w:val="FFFFFF"/>
                                  <w:sz w:val="16"/>
                                </w:rPr>
                                <w:t>JB</w:t>
                              </w:r>
                              <w:r>
                                <w:rPr>
                                  <w:rFonts w:ascii="Verdana"/>
                                  <w:b/>
                                  <w:color w:val="FFFFFF"/>
                                  <w:spacing w:val="-1"/>
                                  <w:sz w:val="16"/>
                                </w:rPr>
                                <w:t> </w:t>
                              </w:r>
                              <w:r>
                                <w:rPr>
                                  <w:rFonts w:ascii="Verdana"/>
                                  <w:b/>
                                  <w:color w:val="FFFFFF"/>
                                  <w:spacing w:val="-2"/>
                                  <w:sz w:val="16"/>
                                </w:rPr>
                                <w:t>PRITZKER</w:t>
                              </w:r>
                            </w:p>
                            <w:p>
                              <w:pPr>
                                <w:spacing w:before="28"/>
                                <w:ind w:left="1" w:right="18" w:firstLine="0"/>
                                <w:jc w:val="center"/>
                                <w:rPr>
                                  <w:rFonts w:ascii="Verdana"/>
                                  <w:sz w:val="16"/>
                                </w:rPr>
                              </w:pPr>
                              <w:r>
                                <w:rPr>
                                  <w:rFonts w:ascii="Verdana"/>
                                  <w:color w:val="FFFFFF"/>
                                  <w:spacing w:val="-2"/>
                                  <w:sz w:val="16"/>
                                </w:rPr>
                                <w:t>Governor</w:t>
                              </w:r>
                            </w:p>
                          </w:txbxContent>
                        </wps:txbx>
                        <wps:bodyPr wrap="square" lIns="0" tIns="0" rIns="0" bIns="0" rtlCol="0">
                          <a:noAutofit/>
                        </wps:bodyPr>
                      </wps:wsp>
                      <wps:wsp>
                        <wps:cNvPr id="5" name="Textbox 5"/>
                        <wps:cNvSpPr txBox="1"/>
                        <wps:spPr>
                          <a:xfrm>
                            <a:off x="4846065" y="0"/>
                            <a:ext cx="1026160" cy="259079"/>
                          </a:xfrm>
                          <a:prstGeom prst="rect">
                            <a:avLst/>
                          </a:prstGeom>
                        </wps:spPr>
                        <wps:txbx>
                          <w:txbxContent>
                            <w:p>
                              <w:pPr>
                                <w:spacing w:before="1"/>
                                <w:ind w:left="0" w:right="18" w:firstLine="0"/>
                                <w:jc w:val="center"/>
                                <w:rPr>
                                  <w:rFonts w:ascii="Verdana"/>
                                  <w:b/>
                                  <w:sz w:val="16"/>
                                </w:rPr>
                              </w:pPr>
                              <w:r>
                                <w:rPr>
                                  <w:rFonts w:ascii="Verdana"/>
                                  <w:b/>
                                  <w:color w:val="FFFFFF"/>
                                  <w:sz w:val="16"/>
                                </w:rPr>
                                <w:t>MARIO</w:t>
                              </w:r>
                              <w:r>
                                <w:rPr>
                                  <w:rFonts w:ascii="Verdana"/>
                                  <w:b/>
                                  <w:color w:val="FFFFFF"/>
                                  <w:spacing w:val="-6"/>
                                  <w:sz w:val="16"/>
                                </w:rPr>
                                <w:t> </w:t>
                              </w:r>
                              <w:r>
                                <w:rPr>
                                  <w:rFonts w:ascii="Verdana"/>
                                  <w:b/>
                                  <w:color w:val="FFFFFF"/>
                                  <w:sz w:val="16"/>
                                </w:rPr>
                                <w:t>TRETO</w:t>
                              </w:r>
                              <w:r>
                                <w:rPr>
                                  <w:rFonts w:ascii="Verdana"/>
                                  <w:b/>
                                  <w:color w:val="FFFFFF"/>
                                  <w:spacing w:val="-3"/>
                                  <w:sz w:val="16"/>
                                </w:rPr>
                                <w:t> </w:t>
                              </w:r>
                              <w:r>
                                <w:rPr>
                                  <w:rFonts w:ascii="Verdana"/>
                                  <w:b/>
                                  <w:color w:val="FFFFFF"/>
                                  <w:spacing w:val="-5"/>
                                  <w:sz w:val="16"/>
                                </w:rPr>
                                <w:t>JR.</w:t>
                              </w:r>
                            </w:p>
                            <w:p>
                              <w:pPr>
                                <w:spacing w:before="28"/>
                                <w:ind w:left="0" w:right="16" w:firstLine="0"/>
                                <w:jc w:val="center"/>
                                <w:rPr>
                                  <w:sz w:val="16"/>
                                </w:rPr>
                              </w:pPr>
                              <w:r>
                                <w:rPr>
                                  <w:color w:val="FFFFFF"/>
                                  <w:spacing w:val="-2"/>
                                  <w:sz w:val="16"/>
                                </w:rPr>
                                <w:t>Secretary</w:t>
                              </w:r>
                            </w:p>
                          </w:txbxContent>
                        </wps:txbx>
                        <wps:bodyPr wrap="square" lIns="0" tIns="0" rIns="0" bIns="0" rtlCol="0">
                          <a:noAutofit/>
                        </wps:bodyPr>
                      </wps:wsp>
                    </wpg:wgp>
                  </a:graphicData>
                </a:graphic>
              </wp:anchor>
            </w:drawing>
          </mc:Choice>
          <mc:Fallback>
            <w:pict>
              <v:group style="position:absolute;margin-left:34.560001pt;margin-top:-29.867559pt;width:531pt;height:22.5pt;mso-position-horizontal-relative:page;mso-position-vertical-relative:paragraph;z-index:15728640" id="docshapegroup1" coordorigin="691,-597" coordsize="10620,450">
                <v:shape style="position:absolute;left:691;top:-597;width:10620;height:449" id="docshape2" coordorigin="691,-596" coordsize="10620,449" path="m11311,-373l8191,-373,6933,-373,5070,-373,3812,-373,691,-373,691,-148,3812,-148,5070,-148,8191,-148,8191,-160,11311,-160,11311,-373xm11311,-596l8191,-596,6933,-596,5070,-596,3812,-596,691,-596,691,-373,3812,-373,5070,-373,6933,-373,8191,-373,11311,-373,11311,-596xe" filled="true" fillcolor="#1b1363" stroked="false">
                  <v:path arrowok="t"/>
                  <v:fill type="solid"/>
                </v:shape>
                <v:shapetype id="_x0000_t202" o:spt="202" coordsize="21600,21600" path="m,l,21600r21600,l21600,xe">
                  <v:stroke joinstyle="miter"/>
                  <v:path gradientshapeok="t" o:connecttype="rect"/>
                </v:shapetype>
                <v:shape style="position:absolute;left:2292;top:-598;width:1197;height:419" type="#_x0000_t202" id="docshape3" filled="false" stroked="false">
                  <v:textbox inset="0,0,0,0">
                    <w:txbxContent>
                      <w:p>
                        <w:pPr>
                          <w:spacing w:before="1"/>
                          <w:ind w:left="-1" w:right="18" w:firstLine="0"/>
                          <w:jc w:val="center"/>
                          <w:rPr>
                            <w:rFonts w:ascii="Verdana"/>
                            <w:b/>
                            <w:sz w:val="16"/>
                          </w:rPr>
                        </w:pPr>
                        <w:r>
                          <w:rPr>
                            <w:rFonts w:ascii="Verdana"/>
                            <w:b/>
                            <w:color w:val="FFFFFF"/>
                            <w:sz w:val="16"/>
                          </w:rPr>
                          <w:t>JB</w:t>
                        </w:r>
                        <w:r>
                          <w:rPr>
                            <w:rFonts w:ascii="Verdana"/>
                            <w:b/>
                            <w:color w:val="FFFFFF"/>
                            <w:spacing w:val="-1"/>
                            <w:sz w:val="16"/>
                          </w:rPr>
                          <w:t> </w:t>
                        </w:r>
                        <w:r>
                          <w:rPr>
                            <w:rFonts w:ascii="Verdana"/>
                            <w:b/>
                            <w:color w:val="FFFFFF"/>
                            <w:spacing w:val="-2"/>
                            <w:sz w:val="16"/>
                          </w:rPr>
                          <w:t>PRITZKER</w:t>
                        </w:r>
                      </w:p>
                      <w:p>
                        <w:pPr>
                          <w:spacing w:before="28"/>
                          <w:ind w:left="1" w:right="18" w:firstLine="0"/>
                          <w:jc w:val="center"/>
                          <w:rPr>
                            <w:rFonts w:ascii="Verdana"/>
                            <w:sz w:val="16"/>
                          </w:rPr>
                        </w:pPr>
                        <w:r>
                          <w:rPr>
                            <w:rFonts w:ascii="Verdana"/>
                            <w:color w:val="FFFFFF"/>
                            <w:spacing w:val="-2"/>
                            <w:sz w:val="16"/>
                          </w:rPr>
                          <w:t>Governor</w:t>
                        </w:r>
                      </w:p>
                    </w:txbxContent>
                  </v:textbox>
                  <w10:wrap type="none"/>
                </v:shape>
                <v:shape style="position:absolute;left:8322;top:-598;width:1616;height:408" type="#_x0000_t202" id="docshape4" filled="false" stroked="false">
                  <v:textbox inset="0,0,0,0">
                    <w:txbxContent>
                      <w:p>
                        <w:pPr>
                          <w:spacing w:before="1"/>
                          <w:ind w:left="0" w:right="18" w:firstLine="0"/>
                          <w:jc w:val="center"/>
                          <w:rPr>
                            <w:rFonts w:ascii="Verdana"/>
                            <w:b/>
                            <w:sz w:val="16"/>
                          </w:rPr>
                        </w:pPr>
                        <w:r>
                          <w:rPr>
                            <w:rFonts w:ascii="Verdana"/>
                            <w:b/>
                            <w:color w:val="FFFFFF"/>
                            <w:sz w:val="16"/>
                          </w:rPr>
                          <w:t>MARIO</w:t>
                        </w:r>
                        <w:r>
                          <w:rPr>
                            <w:rFonts w:ascii="Verdana"/>
                            <w:b/>
                            <w:color w:val="FFFFFF"/>
                            <w:spacing w:val="-6"/>
                            <w:sz w:val="16"/>
                          </w:rPr>
                          <w:t> </w:t>
                        </w:r>
                        <w:r>
                          <w:rPr>
                            <w:rFonts w:ascii="Verdana"/>
                            <w:b/>
                            <w:color w:val="FFFFFF"/>
                            <w:sz w:val="16"/>
                          </w:rPr>
                          <w:t>TRETO</w:t>
                        </w:r>
                        <w:r>
                          <w:rPr>
                            <w:rFonts w:ascii="Verdana"/>
                            <w:b/>
                            <w:color w:val="FFFFFF"/>
                            <w:spacing w:val="-3"/>
                            <w:sz w:val="16"/>
                          </w:rPr>
                          <w:t> </w:t>
                        </w:r>
                        <w:r>
                          <w:rPr>
                            <w:rFonts w:ascii="Verdana"/>
                            <w:b/>
                            <w:color w:val="FFFFFF"/>
                            <w:spacing w:val="-5"/>
                            <w:sz w:val="16"/>
                          </w:rPr>
                          <w:t>JR.</w:t>
                        </w:r>
                      </w:p>
                      <w:p>
                        <w:pPr>
                          <w:spacing w:before="28"/>
                          <w:ind w:left="0" w:right="16" w:firstLine="0"/>
                          <w:jc w:val="center"/>
                          <w:rPr>
                            <w:sz w:val="16"/>
                          </w:rPr>
                        </w:pPr>
                        <w:r>
                          <w:rPr>
                            <w:color w:val="FFFFFF"/>
                            <w:spacing w:val="-2"/>
                            <w:sz w:val="16"/>
                          </w:rPr>
                          <w:t>Secretary</w:t>
                        </w:r>
                      </w:p>
                    </w:txbxContent>
                  </v:textbox>
                  <w10:wrap type="none"/>
                </v:shape>
                <w10:wrap type="none"/>
              </v:group>
            </w:pict>
          </mc:Fallback>
        </mc:AlternateContent>
      </w:r>
      <w:r>
        <w:rPr/>
        <w:t>For</w:t>
      </w:r>
      <w:r>
        <w:rPr>
          <w:spacing w:val="-2"/>
        </w:rPr>
        <w:t> </w:t>
      </w:r>
      <w:r>
        <w:rPr/>
        <w:t>Immediate</w:t>
      </w:r>
      <w:r>
        <w:rPr>
          <w:spacing w:val="-2"/>
        </w:rPr>
        <w:t> Release:</w:t>
      </w:r>
      <w:r>
        <w:rPr/>
        <w:tab/>
        <w:t>Contact:</w:t>
      </w:r>
      <w:r>
        <w:rPr>
          <w:spacing w:val="-4"/>
        </w:rPr>
        <w:t> </w:t>
      </w:r>
      <w:r>
        <w:rPr/>
        <w:t>Kimber</w:t>
      </w:r>
      <w:r>
        <w:rPr>
          <w:spacing w:val="-2"/>
        </w:rPr>
        <w:t> Beckler</w:t>
      </w:r>
    </w:p>
    <w:p>
      <w:pPr>
        <w:pStyle w:val="BodyText"/>
        <w:tabs>
          <w:tab w:pos="7614" w:val="left" w:leader="none"/>
        </w:tabs>
        <w:spacing w:before="43"/>
        <w:ind w:left="360"/>
      </w:pPr>
      <w:r>
        <w:rPr/>
        <w:t>October</w:t>
      </w:r>
      <w:r>
        <w:rPr>
          <w:spacing w:val="-3"/>
        </w:rPr>
        <w:t> </w:t>
      </w:r>
      <w:r>
        <w:rPr/>
        <w:t>8,</w:t>
      </w:r>
      <w:r>
        <w:rPr>
          <w:spacing w:val="-1"/>
        </w:rPr>
        <w:t> </w:t>
      </w:r>
      <w:r>
        <w:rPr>
          <w:spacing w:val="-4"/>
        </w:rPr>
        <w:t>2026</w:t>
      </w:r>
      <w:r>
        <w:rPr/>
        <w:tab/>
      </w:r>
      <w:hyperlink r:id="rId7">
        <w:r>
          <w:rPr>
            <w:color w:val="467885"/>
            <w:spacing w:val="-2"/>
            <w:u w:val="single" w:color="467885"/>
          </w:rPr>
          <w:t>kimber.beckler@illinois.gov</w:t>
        </w:r>
      </w:hyperlink>
    </w:p>
    <w:p>
      <w:pPr>
        <w:pStyle w:val="Title"/>
      </w:pPr>
      <w:r>
        <w:rPr/>
        <w:t>IDFPR</w:t>
      </w:r>
      <w:r>
        <w:rPr>
          <w:spacing w:val="-7"/>
        </w:rPr>
        <w:t> </w:t>
      </w:r>
      <w:r>
        <w:rPr/>
        <w:t>Joins</w:t>
      </w:r>
      <w:r>
        <w:rPr>
          <w:spacing w:val="-5"/>
        </w:rPr>
        <w:t> </w:t>
      </w:r>
      <w:r>
        <w:rPr/>
        <w:t>$2.5</w:t>
      </w:r>
      <w:r>
        <w:rPr>
          <w:spacing w:val="-4"/>
        </w:rPr>
        <w:t> </w:t>
      </w:r>
      <w:r>
        <w:rPr/>
        <w:t>Million</w:t>
      </w:r>
      <w:r>
        <w:rPr>
          <w:spacing w:val="-5"/>
        </w:rPr>
        <w:t> </w:t>
      </w:r>
      <w:r>
        <w:rPr/>
        <w:t>Settlement</w:t>
      </w:r>
      <w:r>
        <w:rPr>
          <w:spacing w:val="-5"/>
        </w:rPr>
        <w:t> </w:t>
      </w:r>
      <w:r>
        <w:rPr/>
        <w:t>with</w:t>
      </w:r>
      <w:r>
        <w:rPr>
          <w:spacing w:val="-5"/>
        </w:rPr>
        <w:t> </w:t>
      </w:r>
      <w:r>
        <w:rPr/>
        <w:t>Crypto</w:t>
      </w:r>
      <w:r>
        <w:rPr>
          <w:spacing w:val="-7"/>
        </w:rPr>
        <w:t> </w:t>
      </w:r>
      <w:r>
        <w:rPr/>
        <w:t>Kiosk</w:t>
      </w:r>
      <w:r>
        <w:rPr>
          <w:spacing w:val="-5"/>
        </w:rPr>
        <w:t> </w:t>
      </w:r>
      <w:r>
        <w:rPr>
          <w:spacing w:val="-2"/>
        </w:rPr>
        <w:t>Operator</w:t>
      </w:r>
    </w:p>
    <w:p>
      <w:pPr>
        <w:pStyle w:val="BodyText"/>
        <w:spacing w:before="275"/>
        <w:ind w:left="720" w:right="356"/>
        <w:jc w:val="both"/>
      </w:pPr>
      <w:r>
        <w:rPr>
          <w:b/>
        </w:rPr>
        <w:t>CHICAGO – </w:t>
      </w:r>
      <w:r>
        <w:rPr/>
        <w:t>The Illinois Department of Financial and Professional Regulation and thirty-three other</w:t>
      </w:r>
      <w:r>
        <w:rPr>
          <w:spacing w:val="-1"/>
        </w:rPr>
        <w:t> </w:t>
      </w:r>
      <w:r>
        <w:rPr/>
        <w:t>state</w:t>
      </w:r>
      <w:r>
        <w:rPr>
          <w:spacing w:val="-1"/>
        </w:rPr>
        <w:t> </w:t>
      </w:r>
      <w:r>
        <w:rPr/>
        <w:t>financial regulatory</w:t>
      </w:r>
      <w:r>
        <w:rPr>
          <w:spacing w:val="-1"/>
        </w:rPr>
        <w:t> </w:t>
      </w:r>
      <w:r>
        <w:rPr/>
        <w:t>agencies</w:t>
      </w:r>
      <w:r>
        <w:rPr>
          <w:spacing w:val="-1"/>
        </w:rPr>
        <w:t> </w:t>
      </w:r>
      <w:r>
        <w:rPr/>
        <w:t>have</w:t>
      </w:r>
      <w:r>
        <w:rPr>
          <w:spacing w:val="-1"/>
        </w:rPr>
        <w:t> </w:t>
      </w:r>
      <w:r>
        <w:rPr/>
        <w:t>reached a</w:t>
      </w:r>
      <w:r>
        <w:rPr>
          <w:spacing w:val="-1"/>
        </w:rPr>
        <w:t> </w:t>
      </w:r>
      <w:r>
        <w:rPr/>
        <w:t>$2.5 million settlement with Coinme</w:t>
      </w:r>
      <w:r>
        <w:rPr>
          <w:spacing w:val="-1"/>
        </w:rPr>
        <w:t> </w:t>
      </w:r>
      <w:r>
        <w:rPr/>
        <w:t>Inc. (NMLS ID 1185542), a Seattle-based cryptocurrency money transmitter and kiosk operator, for violations</w:t>
      </w:r>
      <w:r>
        <w:rPr>
          <w:spacing w:val="-4"/>
        </w:rPr>
        <w:t> </w:t>
      </w:r>
      <w:r>
        <w:rPr/>
        <w:t>of</w:t>
      </w:r>
      <w:r>
        <w:rPr>
          <w:spacing w:val="-3"/>
        </w:rPr>
        <w:t> </w:t>
      </w:r>
      <w:r>
        <w:rPr/>
        <w:t>Bank</w:t>
      </w:r>
      <w:r>
        <w:rPr>
          <w:spacing w:val="-3"/>
        </w:rPr>
        <w:t> </w:t>
      </w:r>
      <w:r>
        <w:rPr/>
        <w:t>Secrecy</w:t>
      </w:r>
      <w:r>
        <w:rPr>
          <w:spacing w:val="-3"/>
        </w:rPr>
        <w:t> </w:t>
      </w:r>
      <w:r>
        <w:rPr/>
        <w:t>Act</w:t>
      </w:r>
      <w:r>
        <w:rPr>
          <w:spacing w:val="-1"/>
        </w:rPr>
        <w:t> </w:t>
      </w:r>
      <w:r>
        <w:rPr/>
        <w:t>(BSA)</w:t>
      </w:r>
      <w:r>
        <w:rPr>
          <w:spacing w:val="-4"/>
        </w:rPr>
        <w:t> </w:t>
      </w:r>
      <w:r>
        <w:rPr/>
        <w:t>and</w:t>
      </w:r>
      <w:r>
        <w:rPr>
          <w:spacing w:val="-1"/>
        </w:rPr>
        <w:t> </w:t>
      </w:r>
      <w:r>
        <w:rPr/>
        <w:t>anti-money</w:t>
      </w:r>
      <w:r>
        <w:rPr>
          <w:spacing w:val="-3"/>
        </w:rPr>
        <w:t> </w:t>
      </w:r>
      <w:r>
        <w:rPr/>
        <w:t>laundering</w:t>
      </w:r>
      <w:r>
        <w:rPr>
          <w:spacing w:val="-3"/>
        </w:rPr>
        <w:t> </w:t>
      </w:r>
      <w:r>
        <w:rPr/>
        <w:t>(AML)</w:t>
      </w:r>
      <w:r>
        <w:rPr>
          <w:spacing w:val="-3"/>
        </w:rPr>
        <w:t> </w:t>
      </w:r>
      <w:r>
        <w:rPr/>
        <w:t>laws</w:t>
      </w:r>
      <w:r>
        <w:rPr>
          <w:spacing w:val="-4"/>
        </w:rPr>
        <w:t> </w:t>
      </w:r>
      <w:r>
        <w:rPr/>
        <w:t>that</w:t>
      </w:r>
      <w:r>
        <w:rPr>
          <w:spacing w:val="-3"/>
        </w:rPr>
        <w:t> </w:t>
      </w:r>
      <w:r>
        <w:rPr/>
        <w:t>safeguard</w:t>
      </w:r>
      <w:r>
        <w:rPr>
          <w:spacing w:val="-3"/>
        </w:rPr>
        <w:t> </w:t>
      </w:r>
      <w:r>
        <w:rPr/>
        <w:t>the financial system from illicit use.</w:t>
      </w:r>
    </w:p>
    <w:p>
      <w:pPr>
        <w:pStyle w:val="BodyText"/>
      </w:pPr>
    </w:p>
    <w:p>
      <w:pPr>
        <w:pStyle w:val="BodyText"/>
        <w:spacing w:before="1"/>
        <w:ind w:left="720" w:right="355"/>
        <w:jc w:val="both"/>
      </w:pPr>
      <w:r>
        <w:rPr/>
        <w:t>Under the terms of the settlement, Coinme has agreed to terminate its virtual currency kiosk operations</w:t>
      </w:r>
      <w:r>
        <w:rPr>
          <w:spacing w:val="-9"/>
        </w:rPr>
        <w:t> </w:t>
      </w:r>
      <w:r>
        <w:rPr/>
        <w:t>by</w:t>
      </w:r>
      <w:r>
        <w:rPr>
          <w:spacing w:val="-9"/>
        </w:rPr>
        <w:t> </w:t>
      </w:r>
      <w:r>
        <w:rPr/>
        <w:t>Jan.</w:t>
      </w:r>
      <w:r>
        <w:rPr>
          <w:spacing w:val="-9"/>
        </w:rPr>
        <w:t> </w:t>
      </w:r>
      <w:r>
        <w:rPr/>
        <w:t>1,</w:t>
      </w:r>
      <w:r>
        <w:rPr>
          <w:spacing w:val="-9"/>
        </w:rPr>
        <w:t> </w:t>
      </w:r>
      <w:r>
        <w:rPr/>
        <w:t>2027,</w:t>
      </w:r>
      <w:r>
        <w:rPr>
          <w:spacing w:val="-9"/>
        </w:rPr>
        <w:t> </w:t>
      </w:r>
      <w:r>
        <w:rPr/>
        <w:t>or</w:t>
      </w:r>
      <w:r>
        <w:rPr>
          <w:spacing w:val="-10"/>
        </w:rPr>
        <w:t> </w:t>
      </w:r>
      <w:r>
        <w:rPr/>
        <w:t>face</w:t>
      </w:r>
      <w:r>
        <w:rPr>
          <w:spacing w:val="-8"/>
        </w:rPr>
        <w:t> </w:t>
      </w:r>
      <w:r>
        <w:rPr/>
        <w:t>an</w:t>
      </w:r>
      <w:r>
        <w:rPr>
          <w:spacing w:val="-9"/>
        </w:rPr>
        <w:t> </w:t>
      </w:r>
      <w:r>
        <w:rPr/>
        <w:t>additional</w:t>
      </w:r>
      <w:r>
        <w:rPr>
          <w:spacing w:val="-9"/>
        </w:rPr>
        <w:t> </w:t>
      </w:r>
      <w:r>
        <w:rPr/>
        <w:t>$4</w:t>
      </w:r>
      <w:r>
        <w:rPr>
          <w:spacing w:val="-9"/>
        </w:rPr>
        <w:t> </w:t>
      </w:r>
      <w:r>
        <w:rPr/>
        <w:t>million</w:t>
      </w:r>
      <w:r>
        <w:rPr>
          <w:spacing w:val="-9"/>
        </w:rPr>
        <w:t> </w:t>
      </w:r>
      <w:r>
        <w:rPr/>
        <w:t>penalty.</w:t>
      </w:r>
      <w:r>
        <w:rPr>
          <w:spacing w:val="-14"/>
        </w:rPr>
        <w:t> </w:t>
      </w:r>
      <w:r>
        <w:rPr/>
        <w:t>The</w:t>
      </w:r>
      <w:r>
        <w:rPr>
          <w:spacing w:val="-10"/>
        </w:rPr>
        <w:t> </w:t>
      </w:r>
      <w:r>
        <w:rPr/>
        <w:t>settlement</w:t>
      </w:r>
      <w:r>
        <w:rPr>
          <w:spacing w:val="-9"/>
        </w:rPr>
        <w:t> </w:t>
      </w:r>
      <w:r>
        <w:rPr/>
        <w:t>amount</w:t>
      </w:r>
      <w:r>
        <w:rPr>
          <w:spacing w:val="-9"/>
        </w:rPr>
        <w:t> </w:t>
      </w:r>
      <w:r>
        <w:rPr/>
        <w:t>will</w:t>
      </w:r>
      <w:r>
        <w:rPr>
          <w:spacing w:val="-9"/>
        </w:rPr>
        <w:t> </w:t>
      </w:r>
      <w:r>
        <w:rPr/>
        <w:t>be allocated among participating states based on transaction volume.</w:t>
      </w:r>
    </w:p>
    <w:p>
      <w:pPr>
        <w:pStyle w:val="BodyText"/>
        <w:spacing w:before="4"/>
      </w:pPr>
    </w:p>
    <w:p>
      <w:pPr>
        <w:pStyle w:val="BodyText"/>
        <w:ind w:left="720" w:right="356"/>
        <w:jc w:val="both"/>
      </w:pPr>
      <w:r>
        <w:rPr/>
        <w:t>“Enforcement actions are an important part of protecting consumers and maintaining confidence in our financial system, particularly as new financial products and technologies continue to </w:t>
      </w:r>
      <w:r>
        <w:rPr>
          <w:spacing w:val="-2"/>
        </w:rPr>
        <w:t>emerge,”</w:t>
      </w:r>
      <w:r>
        <w:rPr>
          <w:spacing w:val="-11"/>
        </w:rPr>
        <w:t> </w:t>
      </w:r>
      <w:r>
        <w:rPr>
          <w:spacing w:val="-2"/>
        </w:rPr>
        <w:t>said</w:t>
      </w:r>
      <w:r>
        <w:rPr>
          <w:spacing w:val="-8"/>
        </w:rPr>
        <w:t> </w:t>
      </w:r>
      <w:r>
        <w:rPr>
          <w:b/>
          <w:spacing w:val="-2"/>
        </w:rPr>
        <w:t>IDFPR</w:t>
      </w:r>
      <w:r>
        <w:rPr>
          <w:b/>
          <w:spacing w:val="-9"/>
        </w:rPr>
        <w:t> </w:t>
      </w:r>
      <w:r>
        <w:rPr>
          <w:b/>
          <w:spacing w:val="-2"/>
        </w:rPr>
        <w:t>Secretary</w:t>
      </w:r>
      <w:r>
        <w:rPr>
          <w:b/>
          <w:spacing w:val="-9"/>
        </w:rPr>
        <w:t> </w:t>
      </w:r>
      <w:r>
        <w:rPr>
          <w:b/>
          <w:spacing w:val="-2"/>
        </w:rPr>
        <w:t>Mario</w:t>
      </w:r>
      <w:r>
        <w:rPr>
          <w:b/>
          <w:spacing w:val="-13"/>
        </w:rPr>
        <w:t> </w:t>
      </w:r>
      <w:r>
        <w:rPr>
          <w:b/>
          <w:spacing w:val="-2"/>
        </w:rPr>
        <w:t>Treto,</w:t>
      </w:r>
      <w:r>
        <w:rPr>
          <w:b/>
          <w:spacing w:val="-10"/>
        </w:rPr>
        <w:t> </w:t>
      </w:r>
      <w:r>
        <w:rPr>
          <w:b/>
          <w:spacing w:val="-2"/>
        </w:rPr>
        <w:t>Jr.</w:t>
      </w:r>
      <w:r>
        <w:rPr>
          <w:b/>
          <w:spacing w:val="-5"/>
        </w:rPr>
        <w:t> </w:t>
      </w:r>
      <w:r>
        <w:rPr>
          <w:spacing w:val="-2"/>
        </w:rPr>
        <w:t>“Through</w:t>
      </w:r>
      <w:r>
        <w:rPr>
          <w:spacing w:val="-9"/>
        </w:rPr>
        <w:t> </w:t>
      </w:r>
      <w:r>
        <w:rPr>
          <w:spacing w:val="-2"/>
        </w:rPr>
        <w:t>our</w:t>
      </w:r>
      <w:r>
        <w:rPr>
          <w:spacing w:val="-10"/>
        </w:rPr>
        <w:t> </w:t>
      </w:r>
      <w:r>
        <w:rPr>
          <w:spacing w:val="-2"/>
        </w:rPr>
        <w:t>continued</w:t>
      </w:r>
      <w:r>
        <w:rPr>
          <w:spacing w:val="-6"/>
        </w:rPr>
        <w:t> </w:t>
      </w:r>
      <w:r>
        <w:rPr>
          <w:spacing w:val="-2"/>
        </w:rPr>
        <w:t>collaboration</w:t>
      </w:r>
      <w:r>
        <w:rPr>
          <w:spacing w:val="-9"/>
        </w:rPr>
        <w:t> </w:t>
      </w:r>
      <w:r>
        <w:rPr>
          <w:spacing w:val="-2"/>
        </w:rPr>
        <w:t>with</w:t>
      </w:r>
      <w:r>
        <w:rPr>
          <w:spacing w:val="-8"/>
        </w:rPr>
        <w:t> </w:t>
      </w:r>
      <w:r>
        <w:rPr>
          <w:spacing w:val="-2"/>
        </w:rPr>
        <w:t>state </w:t>
      </w:r>
      <w:r>
        <w:rPr/>
        <w:t>and</w:t>
      </w:r>
      <w:r>
        <w:rPr>
          <w:spacing w:val="-1"/>
        </w:rPr>
        <w:t> </w:t>
      </w:r>
      <w:r>
        <w:rPr/>
        <w:t>federal</w:t>
      </w:r>
      <w:r>
        <w:rPr>
          <w:spacing w:val="-1"/>
        </w:rPr>
        <w:t> </w:t>
      </w:r>
      <w:r>
        <w:rPr/>
        <w:t>regulatory</w:t>
      </w:r>
      <w:r>
        <w:rPr>
          <w:spacing w:val="-1"/>
        </w:rPr>
        <w:t> </w:t>
      </w:r>
      <w:r>
        <w:rPr/>
        <w:t>partners,</w:t>
      </w:r>
      <w:r>
        <w:rPr>
          <w:spacing w:val="-2"/>
        </w:rPr>
        <w:t> </w:t>
      </w:r>
      <w:r>
        <w:rPr/>
        <w:t>IDFPR</w:t>
      </w:r>
      <w:r>
        <w:rPr>
          <w:spacing w:val="-1"/>
        </w:rPr>
        <w:t> </w:t>
      </w:r>
      <w:r>
        <w:rPr/>
        <w:t>is</w:t>
      </w:r>
      <w:r>
        <w:rPr>
          <w:spacing w:val="-1"/>
        </w:rPr>
        <w:t> </w:t>
      </w:r>
      <w:r>
        <w:rPr/>
        <w:t>working</w:t>
      </w:r>
      <w:r>
        <w:rPr>
          <w:spacing w:val="-1"/>
        </w:rPr>
        <w:t> </w:t>
      </w:r>
      <w:r>
        <w:rPr/>
        <w:t>to</w:t>
      </w:r>
      <w:r>
        <w:rPr>
          <w:spacing w:val="-1"/>
        </w:rPr>
        <w:t> </w:t>
      </w:r>
      <w:r>
        <w:rPr/>
        <w:t>ensure</w:t>
      </w:r>
      <w:r>
        <w:rPr>
          <w:spacing w:val="-3"/>
        </w:rPr>
        <w:t> </w:t>
      </w:r>
      <w:r>
        <w:rPr/>
        <w:t>innovation</w:t>
      </w:r>
      <w:r>
        <w:rPr>
          <w:spacing w:val="-1"/>
        </w:rPr>
        <w:t> </w:t>
      </w:r>
      <w:r>
        <w:rPr/>
        <w:t>in</w:t>
      </w:r>
      <w:r>
        <w:rPr>
          <w:spacing w:val="-1"/>
        </w:rPr>
        <w:t> </w:t>
      </w:r>
      <w:r>
        <w:rPr/>
        <w:t>financial</w:t>
      </w:r>
      <w:r>
        <w:rPr>
          <w:spacing w:val="-1"/>
        </w:rPr>
        <w:t> </w:t>
      </w:r>
      <w:r>
        <w:rPr/>
        <w:t>services</w:t>
      </w:r>
      <w:r>
        <w:rPr>
          <w:spacing w:val="-1"/>
        </w:rPr>
        <w:t> </w:t>
      </w:r>
      <w:r>
        <w:rPr/>
        <w:t>does not come at the expense of consumer safety.”</w:t>
      </w:r>
    </w:p>
    <w:p>
      <w:pPr>
        <w:pStyle w:val="BodyText"/>
        <w:spacing w:before="3"/>
      </w:pPr>
    </w:p>
    <w:p>
      <w:pPr>
        <w:pStyle w:val="BodyText"/>
        <w:ind w:left="720" w:right="356"/>
        <w:jc w:val="both"/>
      </w:pPr>
      <w:r>
        <w:rPr/>
        <w:t>In</w:t>
      </w:r>
      <w:r>
        <w:rPr>
          <w:spacing w:val="-11"/>
        </w:rPr>
        <w:t> </w:t>
      </w:r>
      <w:r>
        <w:rPr/>
        <w:t>addition,</w:t>
      </w:r>
      <w:r>
        <w:rPr>
          <w:spacing w:val="-13"/>
        </w:rPr>
        <w:t> </w:t>
      </w:r>
      <w:r>
        <w:rPr/>
        <w:t>Coinme</w:t>
      </w:r>
      <w:r>
        <w:rPr>
          <w:spacing w:val="-13"/>
        </w:rPr>
        <w:t> </w:t>
      </w:r>
      <w:r>
        <w:rPr/>
        <w:t>has</w:t>
      </w:r>
      <w:r>
        <w:rPr>
          <w:spacing w:val="-13"/>
        </w:rPr>
        <w:t> </w:t>
      </w:r>
      <w:r>
        <w:rPr/>
        <w:t>agreed</w:t>
      </w:r>
      <w:r>
        <w:rPr>
          <w:spacing w:val="-13"/>
        </w:rPr>
        <w:t> </w:t>
      </w:r>
      <w:r>
        <w:rPr/>
        <w:t>to</w:t>
      </w:r>
      <w:r>
        <w:rPr>
          <w:spacing w:val="-13"/>
        </w:rPr>
        <w:t> </w:t>
      </w:r>
      <w:r>
        <w:rPr/>
        <w:t>hire</w:t>
      </w:r>
      <w:r>
        <w:rPr>
          <w:spacing w:val="-14"/>
        </w:rPr>
        <w:t> </w:t>
      </w:r>
      <w:r>
        <w:rPr/>
        <w:t>an</w:t>
      </w:r>
      <w:r>
        <w:rPr>
          <w:spacing w:val="-13"/>
        </w:rPr>
        <w:t> </w:t>
      </w:r>
      <w:r>
        <w:rPr/>
        <w:t>independent</w:t>
      </w:r>
      <w:r>
        <w:rPr>
          <w:spacing w:val="-13"/>
        </w:rPr>
        <w:t> </w:t>
      </w:r>
      <w:r>
        <w:rPr/>
        <w:t>consultant</w:t>
      </w:r>
      <w:r>
        <w:rPr>
          <w:spacing w:val="-13"/>
        </w:rPr>
        <w:t> </w:t>
      </w:r>
      <w:r>
        <w:rPr/>
        <w:t>to</w:t>
      </w:r>
      <w:r>
        <w:rPr>
          <w:spacing w:val="-13"/>
        </w:rPr>
        <w:t> </w:t>
      </w:r>
      <w:r>
        <w:rPr/>
        <w:t>review</w:t>
      </w:r>
      <w:r>
        <w:rPr>
          <w:spacing w:val="-14"/>
        </w:rPr>
        <w:t> </w:t>
      </w:r>
      <w:r>
        <w:rPr/>
        <w:t>the</w:t>
      </w:r>
      <w:r>
        <w:rPr>
          <w:spacing w:val="-14"/>
        </w:rPr>
        <w:t> </w:t>
      </w:r>
      <w:r>
        <w:rPr/>
        <w:t>comprehensiveness and effectiveness of its BSA/AML program and submit a report to the states within six months. Coinme will have 12 months to correct any deficiencies found in the review after the report is </w:t>
      </w:r>
      <w:r>
        <w:rPr>
          <w:spacing w:val="-2"/>
        </w:rPr>
        <w:t>filed.</w:t>
      </w:r>
    </w:p>
    <w:p>
      <w:pPr>
        <w:pStyle w:val="BodyText"/>
        <w:spacing w:before="5"/>
      </w:pPr>
    </w:p>
    <w:p>
      <w:pPr>
        <w:pStyle w:val="BodyText"/>
        <w:ind w:left="720" w:right="354"/>
        <w:jc w:val="both"/>
      </w:pPr>
      <w:r>
        <w:rPr/>
        <w:t>“Ensuring</w:t>
      </w:r>
      <w:r>
        <w:rPr>
          <w:spacing w:val="-2"/>
        </w:rPr>
        <w:t> </w:t>
      </w:r>
      <w:r>
        <w:rPr/>
        <w:t>that</w:t>
      </w:r>
      <w:r>
        <w:rPr>
          <w:spacing w:val="-2"/>
        </w:rPr>
        <w:t> </w:t>
      </w:r>
      <w:r>
        <w:rPr/>
        <w:t>money</w:t>
      </w:r>
      <w:r>
        <w:rPr>
          <w:spacing w:val="-2"/>
        </w:rPr>
        <w:t> </w:t>
      </w:r>
      <w:r>
        <w:rPr/>
        <w:t>transmitters</w:t>
      </w:r>
      <w:r>
        <w:rPr>
          <w:spacing w:val="-3"/>
        </w:rPr>
        <w:t> </w:t>
      </w:r>
      <w:r>
        <w:rPr/>
        <w:t>comply</w:t>
      </w:r>
      <w:r>
        <w:rPr>
          <w:spacing w:val="-2"/>
        </w:rPr>
        <w:t> </w:t>
      </w:r>
      <w:r>
        <w:rPr/>
        <w:t>with</w:t>
      </w:r>
      <w:r>
        <w:rPr>
          <w:spacing w:val="-2"/>
        </w:rPr>
        <w:t> </w:t>
      </w:r>
      <w:r>
        <w:rPr/>
        <w:t>financial</w:t>
      </w:r>
      <w:r>
        <w:rPr>
          <w:spacing w:val="-2"/>
        </w:rPr>
        <w:t> </w:t>
      </w:r>
      <w:r>
        <w:rPr/>
        <w:t>laws,</w:t>
      </w:r>
      <w:r>
        <w:rPr>
          <w:spacing w:val="-2"/>
        </w:rPr>
        <w:t> </w:t>
      </w:r>
      <w:r>
        <w:rPr/>
        <w:t>like</w:t>
      </w:r>
      <w:r>
        <w:rPr>
          <w:spacing w:val="-2"/>
        </w:rPr>
        <w:t> </w:t>
      </w:r>
      <w:r>
        <w:rPr/>
        <w:t>the</w:t>
      </w:r>
      <w:r>
        <w:rPr>
          <w:spacing w:val="-3"/>
        </w:rPr>
        <w:t> </w:t>
      </w:r>
      <w:r>
        <w:rPr/>
        <w:t>Bank</w:t>
      </w:r>
      <w:r>
        <w:rPr>
          <w:spacing w:val="-2"/>
        </w:rPr>
        <w:t> </w:t>
      </w:r>
      <w:r>
        <w:rPr/>
        <w:t>Secrecy</w:t>
      </w:r>
      <w:r>
        <w:rPr>
          <w:spacing w:val="-15"/>
        </w:rPr>
        <w:t> </w:t>
      </w:r>
      <w:r>
        <w:rPr/>
        <w:t>Act, is</w:t>
      </w:r>
      <w:r>
        <w:rPr>
          <w:spacing w:val="-3"/>
        </w:rPr>
        <w:t> </w:t>
      </w:r>
      <w:r>
        <w:rPr/>
        <w:t>vital to</w:t>
      </w:r>
      <w:r>
        <w:rPr>
          <w:spacing w:val="-15"/>
        </w:rPr>
        <w:t> </w:t>
      </w:r>
      <w:r>
        <w:rPr/>
        <w:t>protecting</w:t>
      </w:r>
      <w:r>
        <w:rPr>
          <w:spacing w:val="-15"/>
        </w:rPr>
        <w:t> </w:t>
      </w:r>
      <w:r>
        <w:rPr/>
        <w:t>both</w:t>
      </w:r>
      <w:r>
        <w:rPr>
          <w:spacing w:val="-15"/>
        </w:rPr>
        <w:t> </w:t>
      </w:r>
      <w:r>
        <w:rPr/>
        <w:t>the</w:t>
      </w:r>
      <w:r>
        <w:rPr>
          <w:spacing w:val="-15"/>
        </w:rPr>
        <w:t> </w:t>
      </w:r>
      <w:r>
        <w:rPr/>
        <w:t>financial</w:t>
      </w:r>
      <w:r>
        <w:rPr>
          <w:spacing w:val="-15"/>
        </w:rPr>
        <w:t> </w:t>
      </w:r>
      <w:r>
        <w:rPr/>
        <w:t>system</w:t>
      </w:r>
      <w:r>
        <w:rPr>
          <w:spacing w:val="-15"/>
        </w:rPr>
        <w:t> </w:t>
      </w:r>
      <w:r>
        <w:rPr/>
        <w:t>and</w:t>
      </w:r>
      <w:r>
        <w:rPr>
          <w:spacing w:val="-15"/>
        </w:rPr>
        <w:t> </w:t>
      </w:r>
      <w:r>
        <w:rPr/>
        <w:t>Illinois</w:t>
      </w:r>
      <w:r>
        <w:rPr>
          <w:spacing w:val="-15"/>
        </w:rPr>
        <w:t> </w:t>
      </w:r>
      <w:r>
        <w:rPr/>
        <w:t>consumers,”</w:t>
      </w:r>
      <w:r>
        <w:rPr>
          <w:spacing w:val="-15"/>
        </w:rPr>
        <w:t> </w:t>
      </w:r>
      <w:r>
        <w:rPr/>
        <w:t>said</w:t>
      </w:r>
      <w:r>
        <w:rPr>
          <w:spacing w:val="-15"/>
        </w:rPr>
        <w:t> </w:t>
      </w:r>
      <w:r>
        <w:rPr>
          <w:b/>
        </w:rPr>
        <w:t>IDFPR</w:t>
      </w:r>
      <w:r>
        <w:rPr>
          <w:b/>
          <w:spacing w:val="-15"/>
        </w:rPr>
        <w:t> </w:t>
      </w:r>
      <w:r>
        <w:rPr>
          <w:b/>
        </w:rPr>
        <w:t>Director</w:t>
      </w:r>
      <w:r>
        <w:rPr>
          <w:b/>
          <w:spacing w:val="-15"/>
        </w:rPr>
        <w:t> </w:t>
      </w:r>
      <w:r>
        <w:rPr>
          <w:b/>
        </w:rPr>
        <w:t>of</w:t>
      </w:r>
      <w:r>
        <w:rPr>
          <w:b/>
          <w:spacing w:val="-15"/>
        </w:rPr>
        <w:t> </w:t>
      </w:r>
      <w:r>
        <w:rPr>
          <w:b/>
        </w:rPr>
        <w:t>Financial Institutions</w:t>
      </w:r>
      <w:r>
        <w:rPr>
          <w:b/>
          <w:spacing w:val="-11"/>
        </w:rPr>
        <w:t> </w:t>
      </w:r>
      <w:r>
        <w:rPr>
          <w:b/>
        </w:rPr>
        <w:t>Francisco</w:t>
      </w:r>
      <w:r>
        <w:rPr>
          <w:b/>
          <w:spacing w:val="-12"/>
        </w:rPr>
        <w:t> </w:t>
      </w:r>
      <w:r>
        <w:rPr>
          <w:b/>
        </w:rPr>
        <w:t>Menchaca.</w:t>
      </w:r>
      <w:r>
        <w:rPr>
          <w:b/>
          <w:spacing w:val="-10"/>
        </w:rPr>
        <w:t> </w:t>
      </w:r>
      <w:r>
        <w:rPr/>
        <w:t>“This</w:t>
      </w:r>
      <w:r>
        <w:rPr>
          <w:spacing w:val="-11"/>
        </w:rPr>
        <w:t> </w:t>
      </w:r>
      <w:r>
        <w:rPr/>
        <w:t>settlement</w:t>
      </w:r>
      <w:r>
        <w:rPr>
          <w:spacing w:val="-11"/>
        </w:rPr>
        <w:t> </w:t>
      </w:r>
      <w:r>
        <w:rPr/>
        <w:t>reinforces</w:t>
      </w:r>
      <w:r>
        <w:rPr>
          <w:spacing w:val="-11"/>
        </w:rPr>
        <w:t> </w:t>
      </w:r>
      <w:r>
        <w:rPr/>
        <w:t>that</w:t>
      </w:r>
      <w:r>
        <w:rPr>
          <w:spacing w:val="-12"/>
        </w:rPr>
        <w:t> </w:t>
      </w:r>
      <w:r>
        <w:rPr/>
        <w:t>those</w:t>
      </w:r>
      <w:r>
        <w:rPr>
          <w:spacing w:val="-12"/>
        </w:rPr>
        <w:t> </w:t>
      </w:r>
      <w:r>
        <w:rPr/>
        <w:t>obligations</w:t>
      </w:r>
      <w:r>
        <w:rPr>
          <w:spacing w:val="-11"/>
        </w:rPr>
        <w:t> </w:t>
      </w:r>
      <w:r>
        <w:rPr/>
        <w:t>apply</w:t>
      </w:r>
      <w:r>
        <w:rPr>
          <w:spacing w:val="-11"/>
        </w:rPr>
        <w:t> </w:t>
      </w:r>
      <w:r>
        <w:rPr/>
        <w:t>across the financial services landscape, regardless of the technology or business model involved.”</w:t>
      </w:r>
    </w:p>
    <w:p>
      <w:pPr>
        <w:pStyle w:val="BodyText"/>
        <w:spacing w:before="6"/>
      </w:pPr>
    </w:p>
    <w:p>
      <w:pPr>
        <w:pStyle w:val="BodyText"/>
        <w:spacing w:line="259" w:lineRule="auto"/>
        <w:ind w:left="720" w:right="359"/>
        <w:jc w:val="both"/>
      </w:pPr>
      <w:r>
        <w:rPr/>
        <w:t>Illinois residents can visit </w:t>
      </w:r>
      <w:hyperlink r:id="rId8">
        <w:r>
          <w:rPr>
            <w:color w:val="0462C1"/>
            <w:u w:val="single" w:color="0462C1"/>
          </w:rPr>
          <w:t>NMLS Consumer Access</w:t>
        </w:r>
      </w:hyperlink>
      <w:r>
        <w:rPr>
          <w:color w:val="0462C1"/>
          <w:u w:val="none"/>
        </w:rPr>
        <w:t> </w:t>
      </w:r>
      <w:r>
        <w:rPr>
          <w:u w:val="none"/>
        </w:rPr>
        <w:t>to verify that a company is licensed to do business in Illinois, and they may also view past enforcement actions.</w:t>
      </w:r>
    </w:p>
    <w:p>
      <w:pPr>
        <w:pStyle w:val="BodyText"/>
        <w:spacing w:before="157"/>
        <w:ind w:left="720" w:right="362"/>
        <w:jc w:val="both"/>
      </w:pPr>
      <w:r>
        <w:rPr/>
        <w:t>Illinois, Alaska, Arkansas, Georgia, North Carolina, Ohio, and Washington led the enforcement effort. The Division of Financial Institutions handled this matter for IDFPR.</w:t>
      </w:r>
    </w:p>
    <w:p>
      <w:pPr>
        <w:pStyle w:val="BodyText"/>
        <w:spacing w:after="0"/>
        <w:jc w:val="both"/>
        <w:sectPr>
          <w:type w:val="continuous"/>
          <w:pgSz w:w="12240" w:h="15840"/>
          <w:pgMar w:top="1160" w:bottom="280" w:left="720" w:right="1080"/>
        </w:sectPr>
      </w:pPr>
    </w:p>
    <w:p>
      <w:pPr>
        <w:pStyle w:val="BodyText"/>
        <w:spacing w:before="79"/>
        <w:ind w:left="720" w:right="357"/>
        <w:jc w:val="both"/>
      </w:pPr>
      <w:r>
        <w:rPr/>
        <w:t>To protect consumers and enforce safety and soundness requirements, state regulators regularly coordinate</w:t>
      </w:r>
      <w:r>
        <w:rPr>
          <w:spacing w:val="-7"/>
        </w:rPr>
        <w:t> </w:t>
      </w:r>
      <w:r>
        <w:rPr/>
        <w:t>supervision</w:t>
      </w:r>
      <w:r>
        <w:rPr>
          <w:spacing w:val="-6"/>
        </w:rPr>
        <w:t> </w:t>
      </w:r>
      <w:r>
        <w:rPr/>
        <w:t>of</w:t>
      </w:r>
      <w:r>
        <w:rPr>
          <w:spacing w:val="-5"/>
        </w:rPr>
        <w:t> </w:t>
      </w:r>
      <w:r>
        <w:rPr/>
        <w:t>multistate</w:t>
      </w:r>
      <w:r>
        <w:rPr>
          <w:spacing w:val="-8"/>
        </w:rPr>
        <w:t> </w:t>
      </w:r>
      <w:r>
        <w:rPr/>
        <w:t>firms</w:t>
      </w:r>
      <w:r>
        <w:rPr>
          <w:spacing w:val="-6"/>
        </w:rPr>
        <w:t> </w:t>
      </w:r>
      <w:r>
        <w:rPr/>
        <w:t>and,</w:t>
      </w:r>
      <w:r>
        <w:rPr>
          <w:spacing w:val="-7"/>
        </w:rPr>
        <w:t> </w:t>
      </w:r>
      <w:r>
        <w:rPr/>
        <w:t>when</w:t>
      </w:r>
      <w:r>
        <w:rPr>
          <w:spacing w:val="-7"/>
        </w:rPr>
        <w:t> </w:t>
      </w:r>
      <w:r>
        <w:rPr/>
        <w:t>necessary,</w:t>
      </w:r>
      <w:r>
        <w:rPr>
          <w:spacing w:val="-7"/>
        </w:rPr>
        <w:t> </w:t>
      </w:r>
      <w:r>
        <w:rPr/>
        <w:t>initiate</w:t>
      </w:r>
      <w:r>
        <w:rPr>
          <w:spacing w:val="-7"/>
        </w:rPr>
        <w:t> </w:t>
      </w:r>
      <w:r>
        <w:rPr/>
        <w:t>enforcement</w:t>
      </w:r>
      <w:r>
        <w:rPr>
          <w:spacing w:val="-4"/>
        </w:rPr>
        <w:t> </w:t>
      </w:r>
      <w:r>
        <w:rPr/>
        <w:t>actions.</w:t>
      </w:r>
      <w:r>
        <w:rPr>
          <w:spacing w:val="-7"/>
        </w:rPr>
        <w:t> </w:t>
      </w:r>
      <w:r>
        <w:rPr/>
        <w:t>This networked</w:t>
      </w:r>
      <w:r>
        <w:rPr>
          <w:spacing w:val="-2"/>
        </w:rPr>
        <w:t> </w:t>
      </w:r>
      <w:r>
        <w:rPr/>
        <w:t>coordination</w:t>
      </w:r>
      <w:r>
        <w:rPr>
          <w:spacing w:val="-2"/>
        </w:rPr>
        <w:t> </w:t>
      </w:r>
      <w:r>
        <w:rPr/>
        <w:t>supports</w:t>
      </w:r>
      <w:r>
        <w:rPr>
          <w:spacing w:val="-2"/>
        </w:rPr>
        <w:t> </w:t>
      </w:r>
      <w:r>
        <w:rPr/>
        <w:t>consistency</w:t>
      </w:r>
      <w:r>
        <w:rPr>
          <w:spacing w:val="-2"/>
        </w:rPr>
        <w:t> </w:t>
      </w:r>
      <w:r>
        <w:rPr/>
        <w:t>and collaboration, while</w:t>
      </w:r>
      <w:r>
        <w:rPr>
          <w:spacing w:val="-3"/>
        </w:rPr>
        <w:t> </w:t>
      </w:r>
      <w:r>
        <w:rPr/>
        <w:t>preserving</w:t>
      </w:r>
      <w:r>
        <w:rPr>
          <w:spacing w:val="-3"/>
        </w:rPr>
        <w:t> </w:t>
      </w:r>
      <w:r>
        <w:rPr/>
        <w:t>the</w:t>
      </w:r>
      <w:r>
        <w:rPr>
          <w:spacing w:val="-3"/>
        </w:rPr>
        <w:t> </w:t>
      </w:r>
      <w:r>
        <w:rPr/>
        <w:t>authority</w:t>
      </w:r>
      <w:r>
        <w:rPr>
          <w:spacing w:val="-2"/>
        </w:rPr>
        <w:t> </w:t>
      </w:r>
      <w:r>
        <w:rPr/>
        <w:t>of individual states to take direct action.</w:t>
      </w:r>
    </w:p>
    <w:p>
      <w:pPr>
        <w:pStyle w:val="BodyText"/>
        <w:spacing w:before="5"/>
      </w:pPr>
    </w:p>
    <w:p>
      <w:pPr>
        <w:pStyle w:val="BodyText"/>
        <w:ind w:left="720" w:right="358"/>
        <w:jc w:val="both"/>
      </w:pPr>
      <w:r>
        <w:rPr/>
        <w:t>As</w:t>
      </w:r>
      <w:r>
        <w:rPr>
          <w:spacing w:val="-4"/>
        </w:rPr>
        <w:t> </w:t>
      </w:r>
      <w:r>
        <w:rPr/>
        <w:t>the</w:t>
      </w:r>
      <w:r>
        <w:rPr>
          <w:spacing w:val="-4"/>
        </w:rPr>
        <w:t> </w:t>
      </w:r>
      <w:r>
        <w:rPr/>
        <w:t>use</w:t>
      </w:r>
      <w:r>
        <w:rPr>
          <w:spacing w:val="-4"/>
        </w:rPr>
        <w:t> </w:t>
      </w:r>
      <w:r>
        <w:rPr/>
        <w:t>of</w:t>
      </w:r>
      <w:r>
        <w:rPr>
          <w:spacing w:val="-3"/>
        </w:rPr>
        <w:t> </w:t>
      </w:r>
      <w:r>
        <w:rPr/>
        <w:t>digital</w:t>
      </w:r>
      <w:r>
        <w:rPr>
          <w:spacing w:val="-3"/>
        </w:rPr>
        <w:t> </w:t>
      </w:r>
      <w:r>
        <w:rPr/>
        <w:t>assets</w:t>
      </w:r>
      <w:r>
        <w:rPr>
          <w:spacing w:val="-4"/>
        </w:rPr>
        <w:t> </w:t>
      </w:r>
      <w:r>
        <w:rPr/>
        <w:t>continues</w:t>
      </w:r>
      <w:r>
        <w:rPr>
          <w:spacing w:val="-4"/>
        </w:rPr>
        <w:t> </w:t>
      </w:r>
      <w:r>
        <w:rPr/>
        <w:t>to</w:t>
      </w:r>
      <w:r>
        <w:rPr>
          <w:spacing w:val="-3"/>
        </w:rPr>
        <w:t> </w:t>
      </w:r>
      <w:r>
        <w:rPr/>
        <w:t>evolve,</w:t>
      </w:r>
      <w:r>
        <w:rPr>
          <w:spacing w:val="-3"/>
        </w:rPr>
        <w:t> </w:t>
      </w:r>
      <w:r>
        <w:rPr/>
        <w:t>Illinois</w:t>
      </w:r>
      <w:r>
        <w:rPr>
          <w:spacing w:val="-4"/>
        </w:rPr>
        <w:t> </w:t>
      </w:r>
      <w:r>
        <w:rPr/>
        <w:t>is</w:t>
      </w:r>
      <w:r>
        <w:rPr>
          <w:spacing w:val="-3"/>
        </w:rPr>
        <w:t> </w:t>
      </w:r>
      <w:r>
        <w:rPr/>
        <w:t>taking</w:t>
      </w:r>
      <w:r>
        <w:rPr>
          <w:spacing w:val="-3"/>
        </w:rPr>
        <w:t> </w:t>
      </w:r>
      <w:r>
        <w:rPr/>
        <w:t>steps</w:t>
      </w:r>
      <w:r>
        <w:rPr>
          <w:spacing w:val="-4"/>
        </w:rPr>
        <w:t> </w:t>
      </w:r>
      <w:r>
        <w:rPr/>
        <w:t>to</w:t>
      </w:r>
      <w:r>
        <w:rPr>
          <w:spacing w:val="-3"/>
        </w:rPr>
        <w:t> </w:t>
      </w:r>
      <w:r>
        <w:rPr/>
        <w:t>strengthen</w:t>
      </w:r>
      <w:r>
        <w:rPr>
          <w:spacing w:val="-3"/>
        </w:rPr>
        <w:t> </w:t>
      </w:r>
      <w:r>
        <w:rPr/>
        <w:t>oversight</w:t>
      </w:r>
      <w:r>
        <w:rPr>
          <w:spacing w:val="-3"/>
        </w:rPr>
        <w:t> </w:t>
      </w:r>
      <w:r>
        <w:rPr/>
        <w:t>and protect consumers from emerging risks. The Digital Asset Kiosks Act (DAKA) established new requirements for operators of digital asset kiosks, including reporting of kiosk locations and consumer protections designed to address fraud and scams.</w:t>
      </w:r>
    </w:p>
    <w:p>
      <w:pPr>
        <w:pStyle w:val="BodyText"/>
        <w:spacing w:before="2"/>
      </w:pPr>
    </w:p>
    <w:p>
      <w:pPr>
        <w:pStyle w:val="BodyText"/>
        <w:spacing w:before="1"/>
        <w:ind w:left="720" w:right="358"/>
        <w:jc w:val="both"/>
      </w:pPr>
      <w:r>
        <w:rPr/>
        <w:t>Among the law’s key provisions is a requirement that operators provide full refunds to new customers who are victims of scams conducted through digital asset kiosks, subject to the requirements of the law. The law reflects Illinois’ commitment to ensuring that innovation in financial</w:t>
      </w:r>
      <w:r>
        <w:rPr>
          <w:spacing w:val="-7"/>
        </w:rPr>
        <w:t> </w:t>
      </w:r>
      <w:r>
        <w:rPr/>
        <w:t>services</w:t>
      </w:r>
      <w:r>
        <w:rPr>
          <w:spacing w:val="-7"/>
        </w:rPr>
        <w:t> </w:t>
      </w:r>
      <w:r>
        <w:rPr/>
        <w:t>is</w:t>
      </w:r>
      <w:r>
        <w:rPr>
          <w:spacing w:val="-6"/>
        </w:rPr>
        <w:t> </w:t>
      </w:r>
      <w:r>
        <w:rPr/>
        <w:t>accompanied</w:t>
      </w:r>
      <w:r>
        <w:rPr>
          <w:spacing w:val="-7"/>
        </w:rPr>
        <w:t> </w:t>
      </w:r>
      <w:r>
        <w:rPr/>
        <w:t>by</w:t>
      </w:r>
      <w:r>
        <w:rPr>
          <w:spacing w:val="-7"/>
        </w:rPr>
        <w:t> </w:t>
      </w:r>
      <w:r>
        <w:rPr/>
        <w:t>appropriate</w:t>
      </w:r>
      <w:r>
        <w:rPr>
          <w:spacing w:val="-7"/>
        </w:rPr>
        <w:t> </w:t>
      </w:r>
      <w:r>
        <w:rPr/>
        <w:t>safeguards</w:t>
      </w:r>
      <w:r>
        <w:rPr>
          <w:spacing w:val="-7"/>
        </w:rPr>
        <w:t> </w:t>
      </w:r>
      <w:r>
        <w:rPr/>
        <w:t>for</w:t>
      </w:r>
      <w:r>
        <w:rPr>
          <w:spacing w:val="-6"/>
        </w:rPr>
        <w:t> </w:t>
      </w:r>
      <w:r>
        <w:rPr/>
        <w:t>consumers.</w:t>
      </w:r>
      <w:r>
        <w:rPr>
          <w:spacing w:val="-2"/>
        </w:rPr>
        <w:t> </w:t>
      </w:r>
      <w:r>
        <w:rPr/>
        <w:t>For</w:t>
      </w:r>
      <w:r>
        <w:rPr>
          <w:spacing w:val="-7"/>
        </w:rPr>
        <w:t> </w:t>
      </w:r>
      <w:r>
        <w:rPr/>
        <w:t>more</w:t>
      </w:r>
      <w:r>
        <w:rPr>
          <w:spacing w:val="-7"/>
        </w:rPr>
        <w:t> </w:t>
      </w:r>
      <w:r>
        <w:rPr/>
        <w:t>information about requesting refunds from kiosk operators in Illinois, please see this helpful </w:t>
      </w:r>
      <w:hyperlink r:id="rId9">
        <w:r>
          <w:rPr>
            <w:color w:val="467885"/>
            <w:u w:val="single" w:color="467885"/>
          </w:rPr>
          <w:t>infographic</w:t>
        </w:r>
      </w:hyperlink>
      <w:r>
        <w:rPr>
          <w:u w:val="none"/>
        </w:rPr>
        <w:t>].</w:t>
      </w:r>
    </w:p>
    <w:p>
      <w:pPr>
        <w:pStyle w:val="BodyText"/>
        <w:spacing w:before="5"/>
      </w:pPr>
    </w:p>
    <w:p>
      <w:pPr>
        <w:pStyle w:val="BodyText"/>
        <w:ind w:left="720"/>
      </w:pPr>
      <w:r>
        <w:rPr/>
        <w:t>DAKA</w:t>
      </w:r>
      <w:r>
        <w:rPr>
          <w:spacing w:val="-2"/>
        </w:rPr>
        <w:t> </w:t>
      </w:r>
      <w:r>
        <w:rPr/>
        <w:t>was</w:t>
      </w:r>
      <w:r>
        <w:rPr>
          <w:spacing w:val="-2"/>
        </w:rPr>
        <w:t> </w:t>
      </w:r>
      <w:r>
        <w:rPr/>
        <w:t>signed</w:t>
      </w:r>
      <w:r>
        <w:rPr>
          <w:spacing w:val="-1"/>
        </w:rPr>
        <w:t> </w:t>
      </w:r>
      <w:r>
        <w:rPr/>
        <w:t>into</w:t>
      </w:r>
      <w:r>
        <w:rPr>
          <w:spacing w:val="-1"/>
        </w:rPr>
        <w:t> </w:t>
      </w:r>
      <w:r>
        <w:rPr/>
        <w:t>law</w:t>
      </w:r>
      <w:r>
        <w:rPr>
          <w:spacing w:val="-2"/>
        </w:rPr>
        <w:t> </w:t>
      </w:r>
      <w:r>
        <w:rPr/>
        <w:t>by Governor</w:t>
      </w:r>
      <w:r>
        <w:rPr>
          <w:spacing w:val="-3"/>
        </w:rPr>
        <w:t> </w:t>
      </w:r>
      <w:r>
        <w:rPr/>
        <w:t>JB</w:t>
      </w:r>
      <w:r>
        <w:rPr>
          <w:spacing w:val="-1"/>
        </w:rPr>
        <w:t> </w:t>
      </w:r>
      <w:r>
        <w:rPr/>
        <w:t>Pritzker</w:t>
      </w:r>
      <w:r>
        <w:rPr>
          <w:spacing w:val="-1"/>
        </w:rPr>
        <w:t> </w:t>
      </w:r>
      <w:r>
        <w:rPr/>
        <w:t>on</w:t>
      </w:r>
      <w:r>
        <w:rPr>
          <w:spacing w:val="-1"/>
        </w:rPr>
        <w:t> </w:t>
      </w:r>
      <w:r>
        <w:rPr/>
        <w:t>August</w:t>
      </w:r>
      <w:r>
        <w:rPr>
          <w:spacing w:val="-1"/>
        </w:rPr>
        <w:t> </w:t>
      </w:r>
      <w:r>
        <w:rPr/>
        <w:t>18, </w:t>
      </w:r>
      <w:r>
        <w:rPr>
          <w:spacing w:val="-2"/>
        </w:rPr>
        <w:t>2025.</w:t>
      </w:r>
    </w:p>
    <w:p>
      <w:pPr>
        <w:pStyle w:val="BodyText"/>
        <w:spacing w:before="5"/>
      </w:pPr>
    </w:p>
    <w:p>
      <w:pPr>
        <w:spacing w:before="0"/>
        <w:ind w:left="362" w:right="0" w:firstLine="0"/>
        <w:jc w:val="center"/>
        <w:rPr>
          <w:sz w:val="24"/>
        </w:rPr>
      </w:pPr>
      <w:r>
        <w:rPr>
          <w:spacing w:val="-5"/>
          <w:sz w:val="24"/>
        </w:rPr>
        <w:t>###</w:t>
      </w:r>
    </w:p>
    <w:sectPr>
      <w:pgSz w:w="12240" w:h="15840"/>
      <w:pgMar w:top="640" w:bottom="280" w:left="72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Verdana">
    <w:altName w:val="Verdana"/>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Title" w:type="paragraph">
    <w:name w:val="Title"/>
    <w:basedOn w:val="Normal"/>
    <w:uiPriority w:val="1"/>
    <w:qFormat/>
    <w:pPr>
      <w:spacing w:before="205"/>
      <w:ind w:left="1459"/>
    </w:pPr>
    <w:rPr>
      <w:rFonts w:ascii="Times New Roman" w:hAnsi="Times New Roman" w:eastAsia="Times New Roman" w:cs="Times New Roman"/>
      <w:b/>
      <w:bCs/>
      <w:sz w:val="28"/>
      <w:szCs w:val="2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s://idfpr.illinois.gov/" TargetMode="External"/><Relationship Id="rId7" Type="http://schemas.openxmlformats.org/officeDocument/2006/relationships/hyperlink" Target="mailto:kimber.beckler@illinois.gov" TargetMode="External"/><Relationship Id="rId8" Type="http://schemas.openxmlformats.org/officeDocument/2006/relationships/hyperlink" Target="https://www.nmlsconsumeraccess.org/" TargetMode="External"/><Relationship Id="rId9" Type="http://schemas.openxmlformats.org/officeDocument/2006/relationships/hyperlink" Target="https://idfpr.illinois.gov/content/dam/soi/en/web/idfpr/forms/banks/crypto-atm-scams-flye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Beckler, Kimber</dc:creator>
  <dc:title>10.8.26 IDFPR Joins $2.5 Million Settlement with Crypto Kiosk Operator</dc:title>
  <dcterms:created xsi:type="dcterms:W3CDTF">2026-10-08T19:24:10Z</dcterms:created>
  <dcterms:modified xsi:type="dcterms:W3CDTF">2026-10-08T19:24:10Z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2026-10-08T00:00:00Z</vt:filetime>
  </property>
  <property fmtid="{D5CDD505-2E9C-101B-9397-08002B2CF9AE}" pid="3" name="Creator">
    <vt:lpwstr>Microsoft® Word for Microsoft 365</vt:lpwstr>
  </property>
  <property fmtid="{D5CDD505-2E9C-101B-9397-08002B2CF9AE}" pid="4" name="LastSaved">
    <vt:filetime>2026-10-08T00:00:00Z</vt:filetime>
  </property>
  <property fmtid="{D5CDD505-2E9C-101B-9397-08002B2CF9AE}" pid="5" name="Producer">
    <vt:lpwstr>Microsoft® Word for Microsoft 365</vt:lpwstr>
  </property>
</Properties>
</file>